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88FB2" w14:textId="71805C5C" w:rsidR="002473C3" w:rsidRDefault="00D7156B">
      <w:r>
        <w:t>UTC</w:t>
      </w:r>
      <w:r w:rsidR="00576A26">
        <w:t xml:space="preserve"> files reply comments in CBRS proceeding</w:t>
      </w:r>
    </w:p>
    <w:p w14:paraId="63E77838" w14:textId="77777777" w:rsidR="00576A26" w:rsidRDefault="00576A26" w:rsidP="00576A26">
      <w:r>
        <w:t xml:space="preserve">On November 5, UTC </w:t>
      </w:r>
      <w:hyperlink r:id="rId5" w:history="1">
        <w:r w:rsidRPr="00576A26">
          <w:rPr>
            <w:rStyle w:val="Hyperlink"/>
          </w:rPr>
          <w:t>filed reply comments</w:t>
        </w:r>
      </w:hyperlink>
      <w:r>
        <w:t xml:space="preserve"> on the FCC’s Notice of Proposed Rulemaking in the </w:t>
      </w:r>
      <w:r w:rsidRPr="00576A26">
        <w:t>Promoting Investment in the 3550-3700 MHz Band</w:t>
      </w:r>
      <w:r>
        <w:t xml:space="preserve"> docket. In our reply comments, UTC</w:t>
      </w:r>
      <w:r w:rsidRPr="00576A26">
        <w:t xml:space="preserve"> echoe</w:t>
      </w:r>
      <w:r>
        <w:t>d</w:t>
      </w:r>
      <w:r w:rsidRPr="00576A26">
        <w:t xml:space="preserve"> the comments of </w:t>
      </w:r>
      <w:r>
        <w:t xml:space="preserve">UTC </w:t>
      </w:r>
      <w:r w:rsidRPr="00576A26">
        <w:t>utilit</w:t>
      </w:r>
      <w:r>
        <w:t>y members</w:t>
      </w:r>
      <w:r w:rsidRPr="00576A26">
        <w:t xml:space="preserve"> and other critical infrastructure industries which urge</w:t>
      </w:r>
      <w:r>
        <w:t>d</w:t>
      </w:r>
      <w:r w:rsidRPr="00576A26">
        <w:t xml:space="preserve"> the </w:t>
      </w:r>
      <w:r>
        <w:t>FCC</w:t>
      </w:r>
      <w:r w:rsidRPr="00576A26">
        <w:t xml:space="preserve"> to </w:t>
      </w:r>
    </w:p>
    <w:p w14:paraId="7DEE5CB3" w14:textId="77777777" w:rsidR="00576A26" w:rsidRDefault="00576A26" w:rsidP="00576A26">
      <w:pPr>
        <w:pStyle w:val="ListParagraph"/>
        <w:numPr>
          <w:ilvl w:val="0"/>
          <w:numId w:val="1"/>
        </w:numPr>
      </w:pPr>
      <w:r w:rsidRPr="00576A26">
        <w:t xml:space="preserve">allow higher power for both end user and CBSD base stations to promote CBRS coverage in rural areas; </w:t>
      </w:r>
    </w:p>
    <w:p w14:paraId="5F171602" w14:textId="77777777" w:rsidR="00576A26" w:rsidRDefault="00576A26" w:rsidP="00576A26">
      <w:pPr>
        <w:pStyle w:val="ListParagraph"/>
        <w:numPr>
          <w:ilvl w:val="0"/>
          <w:numId w:val="1"/>
        </w:numPr>
      </w:pPr>
      <w:r w:rsidRPr="00576A26">
        <w:t xml:space="preserve">relax the connectivity requirements for spectrum access systems (SAS) to enable utilities to continue to use CBRS during emergency response and restoration; </w:t>
      </w:r>
    </w:p>
    <w:p w14:paraId="02D72A3D" w14:textId="77777777" w:rsidR="00576A26" w:rsidRDefault="00576A26" w:rsidP="00576A26">
      <w:pPr>
        <w:pStyle w:val="ListParagraph"/>
        <w:numPr>
          <w:ilvl w:val="0"/>
          <w:numId w:val="1"/>
        </w:numPr>
      </w:pPr>
      <w:r w:rsidRPr="00576A26">
        <w:t xml:space="preserve">refrain from requiring TDD synchronization in the 3.5 GHz band; </w:t>
      </w:r>
    </w:p>
    <w:p w14:paraId="18BFCD1C" w14:textId="77777777" w:rsidR="00576A26" w:rsidRDefault="00576A26" w:rsidP="00576A26">
      <w:pPr>
        <w:pStyle w:val="ListParagraph"/>
        <w:numPr>
          <w:ilvl w:val="0"/>
          <w:numId w:val="1"/>
        </w:numPr>
      </w:pPr>
      <w:r w:rsidRPr="00576A26">
        <w:t xml:space="preserve">preserve and protect investment-backed CBRS deployments while considering innovative approaches such as reserving generally authorized access (GAA) spectrum for low power indoor operations; </w:t>
      </w:r>
    </w:p>
    <w:p w14:paraId="714B748A" w14:textId="77777777" w:rsidR="00576A26" w:rsidRDefault="00576A26" w:rsidP="00576A26">
      <w:pPr>
        <w:pStyle w:val="ListParagraph"/>
        <w:numPr>
          <w:ilvl w:val="0"/>
          <w:numId w:val="1"/>
        </w:numPr>
      </w:pPr>
      <w:r w:rsidRPr="00576A26">
        <w:t xml:space="preserve">permit uncrewed aerial systems (UAS) particularly when operating using priority access licenses (PALs); </w:t>
      </w:r>
    </w:p>
    <w:p w14:paraId="287C9C7A" w14:textId="77777777" w:rsidR="00576A26" w:rsidRDefault="00576A26" w:rsidP="00576A26">
      <w:pPr>
        <w:pStyle w:val="ListParagraph"/>
        <w:numPr>
          <w:ilvl w:val="0"/>
          <w:numId w:val="1"/>
        </w:numPr>
      </w:pPr>
      <w:r w:rsidRPr="00576A26">
        <w:t xml:space="preserve">relax out-of-band emission (OOBE) limits; </w:t>
      </w:r>
    </w:p>
    <w:p w14:paraId="3F8262D0" w14:textId="77777777" w:rsidR="00576A26" w:rsidRDefault="00576A26" w:rsidP="00576A26">
      <w:pPr>
        <w:pStyle w:val="ListParagraph"/>
        <w:numPr>
          <w:ilvl w:val="0"/>
          <w:numId w:val="1"/>
        </w:numPr>
      </w:pPr>
      <w:r w:rsidRPr="00576A26">
        <w:t xml:space="preserve">limit CBSD information disclosure requirements to protect critical infrastructure; </w:t>
      </w:r>
    </w:p>
    <w:p w14:paraId="3D7D6787" w14:textId="77777777" w:rsidR="00576A26" w:rsidRDefault="00576A26" w:rsidP="00576A26">
      <w:pPr>
        <w:pStyle w:val="ListParagraph"/>
        <w:numPr>
          <w:ilvl w:val="0"/>
          <w:numId w:val="1"/>
        </w:numPr>
      </w:pPr>
      <w:r w:rsidRPr="00576A26">
        <w:t xml:space="preserve">further study the potential expansion of CBRS offshore operations while preventing interference to CBRS operations on land; </w:t>
      </w:r>
    </w:p>
    <w:p w14:paraId="2E869069" w14:textId="77777777" w:rsidR="00576A26" w:rsidRDefault="00576A26" w:rsidP="00576A26">
      <w:pPr>
        <w:pStyle w:val="ListParagraph"/>
        <w:numPr>
          <w:ilvl w:val="0"/>
          <w:numId w:val="1"/>
        </w:numPr>
      </w:pPr>
      <w:r w:rsidRPr="00576A26">
        <w:t>promote the use of always-on dynamic protected areas to increase coverage of CBRS operations;</w:t>
      </w:r>
    </w:p>
    <w:p w14:paraId="325C1C02" w14:textId="7B5EE59B" w:rsidR="00576A26" w:rsidRDefault="00576A26" w:rsidP="00576A26">
      <w:pPr>
        <w:pStyle w:val="ListParagraph"/>
        <w:numPr>
          <w:ilvl w:val="0"/>
          <w:numId w:val="1"/>
        </w:numPr>
      </w:pPr>
      <w:r w:rsidRPr="00576A26">
        <w:t>and using a scheduling portal like the TARDyS3 as a permanent</w:t>
      </w:r>
      <w:r>
        <w:t xml:space="preserve"> </w:t>
      </w:r>
      <w:r w:rsidRPr="00576A26">
        <w:t>solution to replace the ESC network concept and minimize whisper zone interference.</w:t>
      </w:r>
    </w:p>
    <w:sectPr w:rsidR="00576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503660"/>
    <w:multiLevelType w:val="hybridMultilevel"/>
    <w:tmpl w:val="A4CEE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99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26"/>
    <w:rsid w:val="001D4AB4"/>
    <w:rsid w:val="002473C3"/>
    <w:rsid w:val="00576A26"/>
    <w:rsid w:val="007B3288"/>
    <w:rsid w:val="00D7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B263F"/>
  <w15:chartTrackingRefBased/>
  <w15:docId w15:val="{31EE9EEE-7F8F-4613-8EA5-29538133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A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A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A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A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A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A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A2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6A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cc.gov/ecfs/document/1206068382366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Wagner</dc:creator>
  <cp:keywords/>
  <dc:description/>
  <cp:lastModifiedBy>Eric Wagner</cp:lastModifiedBy>
  <cp:revision>2</cp:revision>
  <dcterms:created xsi:type="dcterms:W3CDTF">2024-12-06T17:48:00Z</dcterms:created>
  <dcterms:modified xsi:type="dcterms:W3CDTF">2024-12-06T21:55:00Z</dcterms:modified>
</cp:coreProperties>
</file>