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E2DB2" w14:textId="77777777" w:rsidR="0036080E" w:rsidRDefault="0036080E" w:rsidP="0036080E"/>
    <w:tbl>
      <w:tblPr>
        <w:tblStyle w:val="TableGrid"/>
        <w:tblW w:w="10170" w:type="dxa"/>
        <w:tblInd w:w="-5" w:type="dxa"/>
        <w:tblLook w:val="04A0" w:firstRow="1" w:lastRow="0" w:firstColumn="1" w:lastColumn="0" w:noHBand="0" w:noVBand="1"/>
      </w:tblPr>
      <w:tblGrid>
        <w:gridCol w:w="10170"/>
      </w:tblGrid>
      <w:tr w:rsidR="00CB3ED0" w:rsidRPr="0034546D" w14:paraId="1DD5D3D3" w14:textId="77777777" w:rsidTr="00842DF5">
        <w:trPr>
          <w:trHeight w:val="404"/>
        </w:trPr>
        <w:tc>
          <w:tcPr>
            <w:tcW w:w="10170" w:type="dxa"/>
          </w:tcPr>
          <w:p w14:paraId="63E9DD26" w14:textId="09154DD2" w:rsidR="00CB3ED0" w:rsidRPr="0034546D" w:rsidRDefault="00CB3ED0" w:rsidP="00CB3ED0">
            <w:pPr>
              <w:jc w:val="center"/>
              <w:rPr>
                <w:rFonts w:ascii="Aptos" w:hAnsi="Aptos"/>
              </w:rPr>
            </w:pPr>
            <w:r w:rsidRPr="0034546D">
              <w:rPr>
                <w:rFonts w:ascii="Aptos" w:hAnsi="Aptos"/>
              </w:rPr>
              <w:t>The continued integration of physical and cyber security for energy utilities is critical in safeguarding critical infrastructure against cyber threat actors.</w:t>
            </w:r>
          </w:p>
        </w:tc>
      </w:tr>
      <w:tr w:rsidR="00CB3ED0" w:rsidRPr="0034546D" w14:paraId="473D3EED" w14:textId="77777777" w:rsidTr="00842DF5">
        <w:trPr>
          <w:trHeight w:val="404"/>
        </w:trPr>
        <w:tc>
          <w:tcPr>
            <w:tcW w:w="10170" w:type="dxa"/>
          </w:tcPr>
          <w:p w14:paraId="2F2C080A" w14:textId="15EBB1C9" w:rsidR="00CB3ED0" w:rsidRPr="0034546D" w:rsidRDefault="00CB3ED0" w:rsidP="00842DF5">
            <w:pPr>
              <w:jc w:val="center"/>
              <w:rPr>
                <w:rFonts w:ascii="Aptos" w:hAnsi="Aptos"/>
              </w:rPr>
            </w:pPr>
            <w:r w:rsidRPr="0034546D">
              <w:rPr>
                <w:rFonts w:ascii="Aptos" w:hAnsi="Aptos" w:cs="Times New Roman"/>
              </w:rPr>
              <w:t>UTC</w:t>
            </w:r>
            <w:r w:rsidRPr="0034546D">
              <w:rPr>
                <w:rFonts w:ascii="Aptos" w:hAnsi="Aptos" w:cs="Times New Roman"/>
              </w:rPr>
              <w:t xml:space="preserve"> supports </w:t>
            </w:r>
            <w:r w:rsidRPr="0034546D">
              <w:rPr>
                <w:rFonts w:ascii="Aptos" w:hAnsi="Aptos" w:cs="Times New Roman"/>
              </w:rPr>
              <w:t>policies</w:t>
            </w:r>
            <w:r w:rsidRPr="0034546D">
              <w:rPr>
                <w:rFonts w:ascii="Aptos" w:hAnsi="Aptos" w:cs="Times New Roman"/>
              </w:rPr>
              <w:t xml:space="preserve"> </w:t>
            </w:r>
            <w:r w:rsidRPr="0034546D">
              <w:rPr>
                <w:rFonts w:ascii="Aptos" w:hAnsi="Aptos" w:cs="Times New Roman"/>
              </w:rPr>
              <w:t xml:space="preserve">to harmonize and reduce cyber incident reporting requirements, </w:t>
            </w:r>
            <w:r w:rsidRPr="0034546D">
              <w:rPr>
                <w:rFonts w:ascii="Aptos" w:hAnsi="Aptos" w:cs="Times New Roman"/>
              </w:rPr>
              <w:t>provid</w:t>
            </w:r>
            <w:r w:rsidRPr="0034546D">
              <w:rPr>
                <w:rFonts w:ascii="Aptos" w:hAnsi="Aptos" w:cs="Times New Roman"/>
              </w:rPr>
              <w:t>e</w:t>
            </w:r>
            <w:r w:rsidRPr="0034546D">
              <w:rPr>
                <w:rFonts w:ascii="Aptos" w:hAnsi="Aptos" w:cs="Times New Roman"/>
              </w:rPr>
              <w:t xml:space="preserve"> utilities with the operational flexibility to develop security strategies to strengthen their physical and cyberinfrastructure</w:t>
            </w:r>
            <w:r w:rsidRPr="0034546D">
              <w:rPr>
                <w:rFonts w:ascii="Aptos" w:hAnsi="Aptos" w:cs="Times New Roman"/>
              </w:rPr>
              <w:t>, and encourage cross-collaboration between utilities and technology partners</w:t>
            </w:r>
            <w:r w:rsidRPr="0034546D">
              <w:rPr>
                <w:rFonts w:ascii="Aptos" w:hAnsi="Aptos" w:cs="Times New Roman"/>
              </w:rPr>
              <w:t>.</w:t>
            </w:r>
          </w:p>
        </w:tc>
      </w:tr>
    </w:tbl>
    <w:p w14:paraId="6CD6F1A6" w14:textId="77777777" w:rsidR="0036080E" w:rsidRPr="0034546D" w:rsidRDefault="0036080E" w:rsidP="0036080E">
      <w:pPr>
        <w:rPr>
          <w:rFonts w:ascii="Aptos" w:hAnsi="Aptos"/>
        </w:rPr>
      </w:pPr>
    </w:p>
    <w:p w14:paraId="0D016B0A" w14:textId="73285BE2" w:rsidR="0036080E" w:rsidRPr="0034546D" w:rsidRDefault="0036080E" w:rsidP="0036080E">
      <w:pPr>
        <w:rPr>
          <w:rFonts w:ascii="Aptos" w:hAnsi="Aptos"/>
          <w:b/>
          <w:bCs/>
        </w:rPr>
      </w:pPr>
      <w:bookmarkStart w:id="0" w:name="_Hlk177120281"/>
      <w:r w:rsidRPr="0034546D">
        <w:rPr>
          <w:rFonts w:ascii="Aptos" w:hAnsi="Aptos"/>
          <w:b/>
          <w:bCs/>
        </w:rPr>
        <w:t>Overview</w:t>
      </w:r>
    </w:p>
    <w:bookmarkEnd w:id="0"/>
    <w:p w14:paraId="0A740A52" w14:textId="77777777" w:rsidR="0036080E" w:rsidRPr="0034546D" w:rsidRDefault="0036080E" w:rsidP="0036080E">
      <w:pPr>
        <w:rPr>
          <w:rFonts w:ascii="Aptos" w:hAnsi="Aptos"/>
        </w:rPr>
      </w:pPr>
    </w:p>
    <w:p w14:paraId="20BC9B4C" w14:textId="18BBFE6F" w:rsidR="0036080E" w:rsidRPr="0034546D" w:rsidRDefault="00B50C0D" w:rsidP="0036080E">
      <w:pPr>
        <w:rPr>
          <w:rFonts w:ascii="Aptos" w:hAnsi="Aptos"/>
        </w:rPr>
      </w:pPr>
      <w:r w:rsidRPr="0034546D">
        <w:rPr>
          <w:rFonts w:ascii="Aptos" w:hAnsi="Aptos"/>
        </w:rPr>
        <w:t>Integrating</w:t>
      </w:r>
      <w:r w:rsidR="0036080E" w:rsidRPr="0034546D">
        <w:rPr>
          <w:rFonts w:ascii="Aptos" w:hAnsi="Aptos"/>
        </w:rPr>
        <w:t xml:space="preserve"> physical and cyber security is crucial for utilities </w:t>
      </w:r>
      <w:r w:rsidRPr="0034546D">
        <w:rPr>
          <w:rFonts w:ascii="Aptos" w:hAnsi="Aptos"/>
        </w:rPr>
        <w:t>to safeguard</w:t>
      </w:r>
      <w:r w:rsidR="0036080E" w:rsidRPr="0034546D">
        <w:rPr>
          <w:rFonts w:ascii="Aptos" w:hAnsi="Aptos"/>
        </w:rPr>
        <w:t xml:space="preserve"> critical infrastructure. As a trade association focusing on utility information </w:t>
      </w:r>
      <w:r w:rsidR="00660155" w:rsidRPr="0034546D">
        <w:rPr>
          <w:rFonts w:ascii="Aptos" w:hAnsi="Aptos"/>
        </w:rPr>
        <w:t xml:space="preserve">and </w:t>
      </w:r>
      <w:r w:rsidR="0036080E" w:rsidRPr="0034546D">
        <w:rPr>
          <w:rFonts w:ascii="Aptos" w:hAnsi="Aptos"/>
        </w:rPr>
        <w:t>communication technologies (ICT), the Utilities Technology Council (UTC) recognizes the growing threats to physical and cyber assets</w:t>
      </w:r>
      <w:r w:rsidR="00981667" w:rsidRPr="0034546D">
        <w:rPr>
          <w:rFonts w:ascii="Aptos" w:hAnsi="Aptos"/>
        </w:rPr>
        <w:t xml:space="preserve"> owned and operated by electric, water, and natural gas utilities</w:t>
      </w:r>
      <w:r w:rsidR="0036080E" w:rsidRPr="0034546D">
        <w:rPr>
          <w:rFonts w:ascii="Aptos" w:hAnsi="Aptos"/>
        </w:rPr>
        <w:t>. With utilities increasingly adopting digital technologies and connected devices, the convergence of physical and cyber domains necessitates a comprehensive security strategy that addresses both areas simultaneously.</w:t>
      </w:r>
    </w:p>
    <w:p w14:paraId="7E9E6C3A" w14:textId="77777777" w:rsidR="0036080E" w:rsidRPr="0034546D" w:rsidRDefault="0036080E" w:rsidP="0036080E">
      <w:pPr>
        <w:rPr>
          <w:rFonts w:ascii="Aptos" w:hAnsi="Aptos"/>
        </w:rPr>
      </w:pPr>
    </w:p>
    <w:p w14:paraId="1EAAE110" w14:textId="270598B1" w:rsidR="0036080E" w:rsidRPr="0034546D" w:rsidRDefault="0036080E" w:rsidP="0036080E">
      <w:pPr>
        <w:rPr>
          <w:rFonts w:ascii="Aptos" w:hAnsi="Aptos"/>
          <w:b/>
          <w:bCs/>
        </w:rPr>
      </w:pPr>
      <w:bookmarkStart w:id="1" w:name="_Hlk177120307"/>
      <w:r w:rsidRPr="0034546D">
        <w:rPr>
          <w:rFonts w:ascii="Aptos" w:hAnsi="Aptos"/>
          <w:b/>
          <w:bCs/>
        </w:rPr>
        <w:t>Background</w:t>
      </w:r>
    </w:p>
    <w:bookmarkEnd w:id="1"/>
    <w:p w14:paraId="1C88DD2F" w14:textId="77777777" w:rsidR="0036080E" w:rsidRPr="0034546D" w:rsidRDefault="0036080E" w:rsidP="0036080E">
      <w:pPr>
        <w:rPr>
          <w:rFonts w:ascii="Aptos" w:hAnsi="Aptos"/>
        </w:rPr>
      </w:pPr>
    </w:p>
    <w:p w14:paraId="499A1AA8" w14:textId="1AE2A8F9" w:rsidR="0036080E" w:rsidRPr="0034546D" w:rsidRDefault="0036080E" w:rsidP="0036080E">
      <w:pPr>
        <w:rPr>
          <w:rFonts w:ascii="Aptos" w:hAnsi="Aptos"/>
        </w:rPr>
      </w:pPr>
      <w:r w:rsidRPr="0034546D">
        <w:rPr>
          <w:rFonts w:ascii="Aptos" w:hAnsi="Aptos"/>
        </w:rPr>
        <w:t xml:space="preserve">Utilities operate in a complex environment where physical and cyber threats </w:t>
      </w:r>
      <w:r w:rsidR="00B50C0D" w:rsidRPr="0034546D">
        <w:rPr>
          <w:rFonts w:ascii="Aptos" w:hAnsi="Aptos"/>
        </w:rPr>
        <w:t>constantly evolve</w:t>
      </w:r>
      <w:r w:rsidRPr="0034546D">
        <w:rPr>
          <w:rFonts w:ascii="Aptos" w:hAnsi="Aptos"/>
        </w:rPr>
        <w:t>. The physical security of substations, control centers, and other critical infrastructure has traditionally been a priority. However, with the rise of digitalization and interconnected systems, cyber threats</w:t>
      </w:r>
      <w:r w:rsidR="00981667" w:rsidRPr="0034546D">
        <w:rPr>
          <w:rFonts w:ascii="Aptos" w:hAnsi="Aptos"/>
        </w:rPr>
        <w:t xml:space="preserve"> t</w:t>
      </w:r>
      <w:r w:rsidR="00B50C0D" w:rsidRPr="0034546D">
        <w:rPr>
          <w:rFonts w:ascii="Aptos" w:hAnsi="Aptos"/>
        </w:rPr>
        <w:t>argeting</w:t>
      </w:r>
      <w:r w:rsidRPr="0034546D">
        <w:rPr>
          <w:rFonts w:ascii="Aptos" w:hAnsi="Aptos"/>
        </w:rPr>
        <w:t xml:space="preserve"> utility communications and ICT have significantly increased. These threats include ransomware attacks, supply chain vulnerabilities, and sophisticated intrusions </w:t>
      </w:r>
      <w:r w:rsidR="00EA4631" w:rsidRPr="0034546D">
        <w:rPr>
          <w:rFonts w:ascii="Aptos" w:hAnsi="Aptos"/>
        </w:rPr>
        <w:t>to disrupt services and steal</w:t>
      </w:r>
      <w:r w:rsidRPr="0034546D">
        <w:rPr>
          <w:rFonts w:ascii="Aptos" w:hAnsi="Aptos"/>
        </w:rPr>
        <w:t xml:space="preserve"> sensitive information.</w:t>
      </w:r>
    </w:p>
    <w:p w14:paraId="37FD7CEB" w14:textId="77777777" w:rsidR="0036080E" w:rsidRPr="0034546D" w:rsidRDefault="0036080E" w:rsidP="0036080E">
      <w:pPr>
        <w:rPr>
          <w:rFonts w:ascii="Aptos" w:hAnsi="Aptos"/>
        </w:rPr>
      </w:pPr>
    </w:p>
    <w:p w14:paraId="58305A74" w14:textId="749AC0E6" w:rsidR="008F5FD6" w:rsidRPr="0034546D" w:rsidRDefault="00981667" w:rsidP="0036080E">
      <w:pPr>
        <w:rPr>
          <w:rFonts w:ascii="Aptos" w:hAnsi="Aptos"/>
        </w:rPr>
      </w:pPr>
      <w:r w:rsidRPr="0034546D">
        <w:rPr>
          <w:rFonts w:ascii="Aptos" w:hAnsi="Aptos"/>
        </w:rPr>
        <w:t xml:space="preserve">As we’ve seen, the </w:t>
      </w:r>
      <w:r w:rsidR="0036080E" w:rsidRPr="0034546D">
        <w:rPr>
          <w:rFonts w:ascii="Aptos" w:hAnsi="Aptos"/>
        </w:rPr>
        <w:t>Colonial Pipeline event and the emergence of state-sponsored cyber groups like Volt Typhoon have underscored the urgency of enhancing security measures.</w:t>
      </w:r>
      <w:r w:rsidRPr="0034546D">
        <w:rPr>
          <w:rFonts w:ascii="Aptos" w:hAnsi="Aptos"/>
        </w:rPr>
        <w:t xml:space="preserve"> Moreover, given the growing use of new technologies such as artificial intelligence by threat actors, utilities </w:t>
      </w:r>
      <w:r w:rsidR="00B50C0D" w:rsidRPr="0034546D">
        <w:rPr>
          <w:rFonts w:ascii="Aptos" w:hAnsi="Aptos"/>
        </w:rPr>
        <w:t>face an ever-evolving threat landscape that threatens the economy, public safety, and</w:t>
      </w:r>
      <w:r w:rsidR="008F5FD6" w:rsidRPr="0034546D">
        <w:rPr>
          <w:rFonts w:ascii="Aptos" w:hAnsi="Aptos"/>
        </w:rPr>
        <w:t xml:space="preserve"> national security.</w:t>
      </w:r>
      <w:r w:rsidRPr="0034546D">
        <w:rPr>
          <w:rFonts w:ascii="Aptos" w:hAnsi="Aptos"/>
        </w:rPr>
        <w:t xml:space="preserve"> </w:t>
      </w:r>
      <w:r w:rsidR="0036080E" w:rsidRPr="0034546D">
        <w:rPr>
          <w:rFonts w:ascii="Aptos" w:hAnsi="Aptos"/>
        </w:rPr>
        <w:t xml:space="preserve"> As the reliance on ICT grows, utilities must develop robust defenses </w:t>
      </w:r>
      <w:r w:rsidR="00EA4631" w:rsidRPr="0034546D">
        <w:rPr>
          <w:rFonts w:ascii="Aptos" w:hAnsi="Aptos"/>
        </w:rPr>
        <w:t>integrating</w:t>
      </w:r>
      <w:r w:rsidR="0036080E" w:rsidRPr="0034546D">
        <w:rPr>
          <w:rFonts w:ascii="Aptos" w:hAnsi="Aptos"/>
        </w:rPr>
        <w:t xml:space="preserve"> physical and cyber security to mitigate these risks effectively.</w:t>
      </w:r>
    </w:p>
    <w:p w14:paraId="3A506D0F" w14:textId="77777777" w:rsidR="0036080E" w:rsidRPr="0034546D" w:rsidRDefault="0036080E" w:rsidP="0036080E">
      <w:pPr>
        <w:rPr>
          <w:rFonts w:ascii="Aptos" w:hAnsi="Aptos"/>
        </w:rPr>
      </w:pPr>
    </w:p>
    <w:p w14:paraId="2B3323AF" w14:textId="58CF7165" w:rsidR="0036080E" w:rsidRPr="0034546D" w:rsidRDefault="0036080E" w:rsidP="0036080E">
      <w:pPr>
        <w:rPr>
          <w:rFonts w:ascii="Aptos" w:hAnsi="Aptos"/>
          <w:i/>
          <w:iCs/>
        </w:rPr>
      </w:pPr>
      <w:r w:rsidRPr="0034546D">
        <w:rPr>
          <w:rFonts w:ascii="Aptos" w:hAnsi="Aptos"/>
          <w:i/>
          <w:iCs/>
        </w:rPr>
        <w:t>Key Issues</w:t>
      </w:r>
    </w:p>
    <w:p w14:paraId="576A97A1" w14:textId="77777777" w:rsidR="007B039F" w:rsidRPr="0034546D" w:rsidRDefault="0036080E" w:rsidP="0036080E">
      <w:pPr>
        <w:rPr>
          <w:rFonts w:ascii="Aptos" w:hAnsi="Aptos"/>
          <w:i/>
          <w:iCs/>
        </w:rPr>
      </w:pPr>
      <w:r w:rsidRPr="0034546D">
        <w:rPr>
          <w:rFonts w:ascii="Aptos" w:hAnsi="Aptos"/>
          <w:i/>
          <w:iCs/>
        </w:rPr>
        <w:t xml:space="preserve">1. Convergence of Physical and Cyber Security Threats  </w:t>
      </w:r>
    </w:p>
    <w:p w14:paraId="0D4344E4" w14:textId="3267963D" w:rsidR="007B039F" w:rsidRPr="0034546D" w:rsidRDefault="0036080E" w:rsidP="0036080E">
      <w:pPr>
        <w:pStyle w:val="ListParagraph"/>
        <w:numPr>
          <w:ilvl w:val="0"/>
          <w:numId w:val="1"/>
        </w:numPr>
        <w:rPr>
          <w:rFonts w:ascii="Aptos" w:hAnsi="Aptos"/>
          <w:b/>
          <w:bCs/>
        </w:rPr>
      </w:pPr>
      <w:r w:rsidRPr="0034546D">
        <w:rPr>
          <w:rFonts w:ascii="Aptos" w:hAnsi="Aptos"/>
        </w:rPr>
        <w:t>Modern utility infrastructure is increasingly interconnected, blending physical systems with digital controls. This convergence creates new vulnerabilities where cyberattacks can have physical consequences and vice versa.</w:t>
      </w:r>
    </w:p>
    <w:p w14:paraId="25D6628C" w14:textId="6363F88E" w:rsidR="0036080E" w:rsidRPr="0034546D" w:rsidRDefault="0036080E" w:rsidP="0036080E">
      <w:pPr>
        <w:pStyle w:val="ListParagraph"/>
        <w:numPr>
          <w:ilvl w:val="0"/>
          <w:numId w:val="1"/>
        </w:numPr>
        <w:rPr>
          <w:rFonts w:ascii="Aptos" w:hAnsi="Aptos"/>
          <w:b/>
          <w:bCs/>
        </w:rPr>
      </w:pPr>
      <w:r w:rsidRPr="0034546D">
        <w:rPr>
          <w:rFonts w:ascii="Aptos" w:hAnsi="Aptos"/>
        </w:rPr>
        <w:t>Threat actors are employing more sophisticated tactics, such as Living off the Land (LotL) attacks, which use legitimate software and tools for malicious purposes, complicating detection and response efforts.</w:t>
      </w:r>
    </w:p>
    <w:p w14:paraId="2C8F69C1" w14:textId="77777777" w:rsidR="0036080E" w:rsidRPr="0034546D" w:rsidRDefault="0036080E" w:rsidP="0036080E">
      <w:pPr>
        <w:rPr>
          <w:rFonts w:ascii="Aptos" w:hAnsi="Aptos"/>
        </w:rPr>
      </w:pPr>
    </w:p>
    <w:p w14:paraId="14D8E33D" w14:textId="7A7C9C8D" w:rsidR="0036080E" w:rsidRPr="0034546D" w:rsidRDefault="0036080E" w:rsidP="0036080E">
      <w:pPr>
        <w:rPr>
          <w:rFonts w:ascii="Aptos" w:hAnsi="Aptos"/>
          <w:i/>
          <w:iCs/>
        </w:rPr>
      </w:pPr>
      <w:r w:rsidRPr="0034546D">
        <w:rPr>
          <w:rFonts w:ascii="Aptos" w:hAnsi="Aptos"/>
          <w:i/>
          <w:iCs/>
        </w:rPr>
        <w:lastRenderedPageBreak/>
        <w:t>2. Challenges in Implementing Comprehensive Security Measures</w:t>
      </w:r>
    </w:p>
    <w:p w14:paraId="520C6B3B" w14:textId="3CF14BD9" w:rsidR="007B039F" w:rsidRPr="0034546D" w:rsidRDefault="0036080E" w:rsidP="0036080E">
      <w:pPr>
        <w:pStyle w:val="ListParagraph"/>
        <w:numPr>
          <w:ilvl w:val="0"/>
          <w:numId w:val="2"/>
        </w:numPr>
        <w:rPr>
          <w:rFonts w:ascii="Aptos" w:hAnsi="Aptos"/>
        </w:rPr>
      </w:pPr>
      <w:r w:rsidRPr="0034546D">
        <w:rPr>
          <w:rFonts w:ascii="Aptos" w:hAnsi="Aptos"/>
        </w:rPr>
        <w:t xml:space="preserve">Utilities face challenges integrating physical and cyber security measures due to legacy systems, resource constraints, and varying </w:t>
      </w:r>
      <w:r w:rsidR="00EA4631" w:rsidRPr="0034546D">
        <w:rPr>
          <w:rFonts w:ascii="Aptos" w:hAnsi="Aptos"/>
        </w:rPr>
        <w:t>maturity levels</w:t>
      </w:r>
      <w:r w:rsidRPr="0034546D">
        <w:rPr>
          <w:rFonts w:ascii="Aptos" w:hAnsi="Aptos"/>
        </w:rPr>
        <w:t xml:space="preserve"> across organizations.</w:t>
      </w:r>
    </w:p>
    <w:p w14:paraId="0B528FB8" w14:textId="25FF6683" w:rsidR="0036080E" w:rsidRPr="0034546D" w:rsidRDefault="0036080E" w:rsidP="0036080E">
      <w:pPr>
        <w:pStyle w:val="ListParagraph"/>
        <w:numPr>
          <w:ilvl w:val="0"/>
          <w:numId w:val="2"/>
        </w:numPr>
        <w:rPr>
          <w:rFonts w:ascii="Aptos" w:hAnsi="Aptos"/>
        </w:rPr>
      </w:pPr>
      <w:r w:rsidRPr="0034546D">
        <w:rPr>
          <w:rFonts w:ascii="Aptos" w:hAnsi="Aptos"/>
        </w:rPr>
        <w:t>Coordination between different departments and stakeholders—such as IT, OT, and physical security teams—is often lacking, leading to gaps in overall security posture.</w:t>
      </w:r>
    </w:p>
    <w:p w14:paraId="79602D7A" w14:textId="77777777" w:rsidR="0036080E" w:rsidRPr="0034546D" w:rsidRDefault="0036080E" w:rsidP="0036080E">
      <w:pPr>
        <w:rPr>
          <w:rFonts w:ascii="Aptos" w:hAnsi="Aptos"/>
        </w:rPr>
      </w:pPr>
    </w:p>
    <w:p w14:paraId="79BDA4E4" w14:textId="4ADAF40A" w:rsidR="0036080E" w:rsidRPr="0034546D" w:rsidRDefault="0036080E" w:rsidP="0036080E">
      <w:pPr>
        <w:rPr>
          <w:rFonts w:ascii="Aptos" w:hAnsi="Aptos"/>
          <w:i/>
          <w:iCs/>
        </w:rPr>
      </w:pPr>
      <w:r w:rsidRPr="0034546D">
        <w:rPr>
          <w:rFonts w:ascii="Aptos" w:hAnsi="Aptos"/>
          <w:i/>
          <w:iCs/>
        </w:rPr>
        <w:t xml:space="preserve">3. Supply Chain Risks  </w:t>
      </w:r>
    </w:p>
    <w:p w14:paraId="7B6BBD87" w14:textId="65ACA48B" w:rsidR="0036080E" w:rsidRPr="0034546D" w:rsidRDefault="0036080E" w:rsidP="007B039F">
      <w:pPr>
        <w:pStyle w:val="ListParagraph"/>
        <w:numPr>
          <w:ilvl w:val="0"/>
          <w:numId w:val="3"/>
        </w:numPr>
        <w:rPr>
          <w:rFonts w:ascii="Aptos" w:hAnsi="Aptos"/>
        </w:rPr>
      </w:pPr>
      <w:r w:rsidRPr="0034546D">
        <w:rPr>
          <w:rFonts w:ascii="Aptos" w:hAnsi="Aptos"/>
        </w:rPr>
        <w:t>The global supply chain for ICT and operational technology (OT) components introduces additional risks. Insecure supply chains can be exploited to introduce malicious hardware or software, compromising utility networks.</w:t>
      </w:r>
    </w:p>
    <w:p w14:paraId="6F52EA3D" w14:textId="01FE1368" w:rsidR="0036080E" w:rsidRPr="0034546D" w:rsidRDefault="0036080E" w:rsidP="007B039F">
      <w:pPr>
        <w:pStyle w:val="ListParagraph"/>
        <w:numPr>
          <w:ilvl w:val="0"/>
          <w:numId w:val="3"/>
        </w:numPr>
        <w:rPr>
          <w:rFonts w:ascii="Aptos" w:hAnsi="Aptos"/>
        </w:rPr>
      </w:pPr>
      <w:r w:rsidRPr="0034546D">
        <w:rPr>
          <w:rFonts w:ascii="Aptos" w:hAnsi="Aptos"/>
        </w:rPr>
        <w:t xml:space="preserve">Third-party vendors and contractors often have access to sensitive systems and data, </w:t>
      </w:r>
      <w:r w:rsidR="00FA6060" w:rsidRPr="0034546D">
        <w:rPr>
          <w:rFonts w:ascii="Aptos" w:hAnsi="Aptos"/>
        </w:rPr>
        <w:t>creating</w:t>
      </w:r>
      <w:r w:rsidRPr="0034546D">
        <w:rPr>
          <w:rFonts w:ascii="Aptos" w:hAnsi="Aptos"/>
        </w:rPr>
        <w:t xml:space="preserve"> potential vulnerabilities if not properly managed.</w:t>
      </w:r>
    </w:p>
    <w:p w14:paraId="5AF10C49" w14:textId="77777777" w:rsidR="0036080E" w:rsidRPr="0034546D" w:rsidRDefault="0036080E" w:rsidP="0036080E">
      <w:pPr>
        <w:rPr>
          <w:rFonts w:ascii="Aptos" w:hAnsi="Aptos"/>
        </w:rPr>
      </w:pPr>
    </w:p>
    <w:p w14:paraId="49E018D0" w14:textId="77777777" w:rsidR="007B039F" w:rsidRPr="0034546D" w:rsidRDefault="0036080E" w:rsidP="0036080E">
      <w:pPr>
        <w:rPr>
          <w:rFonts w:ascii="Aptos" w:hAnsi="Aptos"/>
          <w:i/>
          <w:iCs/>
        </w:rPr>
      </w:pPr>
      <w:r w:rsidRPr="0034546D">
        <w:rPr>
          <w:rFonts w:ascii="Aptos" w:hAnsi="Aptos"/>
          <w:i/>
          <w:iCs/>
        </w:rPr>
        <w:t>4. Regulatory and Compliance Requirements</w:t>
      </w:r>
    </w:p>
    <w:p w14:paraId="31D57957" w14:textId="0B3B28D8" w:rsidR="007B039F" w:rsidRPr="0034546D" w:rsidRDefault="0036080E" w:rsidP="0036080E">
      <w:pPr>
        <w:pStyle w:val="ListParagraph"/>
        <w:numPr>
          <w:ilvl w:val="0"/>
          <w:numId w:val="4"/>
        </w:numPr>
        <w:rPr>
          <w:rFonts w:ascii="Aptos" w:hAnsi="Aptos"/>
          <w:b/>
          <w:bCs/>
        </w:rPr>
      </w:pPr>
      <w:r w:rsidRPr="0034546D">
        <w:rPr>
          <w:rFonts w:ascii="Aptos" w:hAnsi="Aptos"/>
        </w:rPr>
        <w:t>The regulatory landscape for utilities is becoming increasingly complex, with new requirements such as NERC CIP standards and evolving state-level mandates for physical and cyber security.</w:t>
      </w:r>
    </w:p>
    <w:p w14:paraId="700C06E4" w14:textId="215E1843" w:rsidR="0036080E" w:rsidRPr="0034546D" w:rsidRDefault="0036080E" w:rsidP="0036080E">
      <w:pPr>
        <w:pStyle w:val="ListParagraph"/>
        <w:numPr>
          <w:ilvl w:val="0"/>
          <w:numId w:val="4"/>
        </w:numPr>
        <w:rPr>
          <w:rFonts w:ascii="Aptos" w:hAnsi="Aptos"/>
          <w:b/>
          <w:bCs/>
        </w:rPr>
      </w:pPr>
      <w:r w:rsidRPr="0034546D">
        <w:rPr>
          <w:rFonts w:ascii="Aptos" w:hAnsi="Aptos"/>
        </w:rPr>
        <w:t>Ensuring compliance with these regulations while maintaining operational efficiency can be challenging for utilities.</w:t>
      </w:r>
    </w:p>
    <w:p w14:paraId="18715729" w14:textId="77777777" w:rsidR="0036080E" w:rsidRPr="0034546D" w:rsidRDefault="0036080E" w:rsidP="0036080E">
      <w:pPr>
        <w:rPr>
          <w:rFonts w:ascii="Aptos" w:hAnsi="Aptos"/>
        </w:rPr>
      </w:pPr>
    </w:p>
    <w:p w14:paraId="05ABC4A2" w14:textId="53D38925" w:rsidR="0036080E" w:rsidRPr="0034546D" w:rsidRDefault="00660155" w:rsidP="0036080E">
      <w:pPr>
        <w:rPr>
          <w:rFonts w:ascii="Aptos" w:hAnsi="Aptos"/>
          <w:i/>
          <w:iCs/>
        </w:rPr>
      </w:pPr>
      <w:r w:rsidRPr="0034546D">
        <w:rPr>
          <w:rFonts w:ascii="Aptos" w:hAnsi="Aptos"/>
          <w:i/>
          <w:iCs/>
        </w:rPr>
        <w:t>Recommendations</w:t>
      </w:r>
    </w:p>
    <w:p w14:paraId="7E3C0CE7" w14:textId="77777777" w:rsidR="007B039F" w:rsidRPr="0034546D" w:rsidRDefault="0036080E" w:rsidP="0036080E">
      <w:pPr>
        <w:rPr>
          <w:rFonts w:ascii="Aptos" w:hAnsi="Aptos"/>
          <w:i/>
          <w:iCs/>
        </w:rPr>
      </w:pPr>
      <w:r w:rsidRPr="0034546D">
        <w:rPr>
          <w:rFonts w:ascii="Aptos" w:hAnsi="Aptos"/>
          <w:i/>
          <w:iCs/>
        </w:rPr>
        <w:t xml:space="preserve">1. Develop Integrated Security Strategies </w:t>
      </w:r>
    </w:p>
    <w:p w14:paraId="7593CE68" w14:textId="34ED3FCC" w:rsidR="0036080E" w:rsidRPr="0034546D" w:rsidRDefault="00660155" w:rsidP="007B039F">
      <w:pPr>
        <w:pStyle w:val="ListParagraph"/>
        <w:numPr>
          <w:ilvl w:val="0"/>
          <w:numId w:val="5"/>
        </w:numPr>
        <w:rPr>
          <w:rFonts w:ascii="Aptos" w:hAnsi="Aptos"/>
          <w:b/>
          <w:bCs/>
        </w:rPr>
      </w:pPr>
      <w:r w:rsidRPr="0034546D">
        <w:rPr>
          <w:rFonts w:ascii="Aptos" w:hAnsi="Aptos"/>
        </w:rPr>
        <w:t>A</w:t>
      </w:r>
      <w:r w:rsidR="0036080E" w:rsidRPr="0034546D">
        <w:rPr>
          <w:rFonts w:ascii="Aptos" w:hAnsi="Aptos"/>
        </w:rPr>
        <w:t xml:space="preserve">dopt an integrated </w:t>
      </w:r>
      <w:r w:rsidR="00FA6060" w:rsidRPr="0034546D">
        <w:rPr>
          <w:rFonts w:ascii="Aptos" w:hAnsi="Aptos"/>
        </w:rPr>
        <w:t>security approach that combines</w:t>
      </w:r>
      <w:r w:rsidR="0036080E" w:rsidRPr="0034546D">
        <w:rPr>
          <w:rFonts w:ascii="Aptos" w:hAnsi="Aptos"/>
        </w:rPr>
        <w:t xml:space="preserve"> physical and cyber aspects. This includes regular risk assessments, joint exercises, and the implementation of comprehensive security frameworks such as IEC 62443 or NIST Cybersecurity Framework.</w:t>
      </w:r>
    </w:p>
    <w:p w14:paraId="4262677D" w14:textId="77777777" w:rsidR="0036080E" w:rsidRPr="0034546D" w:rsidRDefault="0036080E" w:rsidP="0036080E">
      <w:pPr>
        <w:rPr>
          <w:rFonts w:ascii="Aptos" w:hAnsi="Aptos"/>
        </w:rPr>
      </w:pPr>
    </w:p>
    <w:p w14:paraId="017036D7" w14:textId="77777777" w:rsidR="007B039F" w:rsidRPr="0034546D" w:rsidRDefault="0036080E" w:rsidP="0036080E">
      <w:pPr>
        <w:rPr>
          <w:rFonts w:ascii="Aptos" w:hAnsi="Aptos"/>
          <w:i/>
          <w:iCs/>
        </w:rPr>
      </w:pPr>
      <w:r w:rsidRPr="0034546D">
        <w:rPr>
          <w:rFonts w:ascii="Aptos" w:hAnsi="Aptos"/>
          <w:i/>
          <w:iCs/>
        </w:rPr>
        <w:t>2. Enhance Cross-Departmental Collaboration</w:t>
      </w:r>
    </w:p>
    <w:p w14:paraId="435A702A" w14:textId="2A8312AD" w:rsidR="0036080E" w:rsidRPr="0034546D" w:rsidRDefault="0036080E" w:rsidP="007B039F">
      <w:pPr>
        <w:pStyle w:val="ListParagraph"/>
        <w:numPr>
          <w:ilvl w:val="0"/>
          <w:numId w:val="5"/>
        </w:numPr>
        <w:rPr>
          <w:rFonts w:ascii="Aptos" w:hAnsi="Aptos"/>
          <w:b/>
          <w:bCs/>
        </w:rPr>
      </w:pPr>
      <w:r w:rsidRPr="0034546D">
        <w:rPr>
          <w:rFonts w:ascii="Aptos" w:hAnsi="Aptos"/>
        </w:rPr>
        <w:t>Encourage stronger collaboration between IT, OT, and physical security teams. Establish clear communication channels, shared goals, and unified response plans to ensure a coordinated defense against threats.</w:t>
      </w:r>
    </w:p>
    <w:p w14:paraId="7F8DD53E" w14:textId="77777777" w:rsidR="0036080E" w:rsidRPr="0034546D" w:rsidRDefault="0036080E" w:rsidP="0036080E">
      <w:pPr>
        <w:rPr>
          <w:rFonts w:ascii="Aptos" w:hAnsi="Aptos"/>
        </w:rPr>
      </w:pPr>
    </w:p>
    <w:p w14:paraId="38C933E9" w14:textId="77777777" w:rsidR="007B039F" w:rsidRPr="0034546D" w:rsidRDefault="0036080E" w:rsidP="0036080E">
      <w:pPr>
        <w:rPr>
          <w:rFonts w:ascii="Aptos" w:hAnsi="Aptos"/>
          <w:i/>
          <w:iCs/>
        </w:rPr>
      </w:pPr>
      <w:r w:rsidRPr="0034546D">
        <w:rPr>
          <w:rFonts w:ascii="Aptos" w:hAnsi="Aptos"/>
          <w:i/>
          <w:iCs/>
        </w:rPr>
        <w:t xml:space="preserve">3. Strengthen Supply Chain Security  </w:t>
      </w:r>
    </w:p>
    <w:p w14:paraId="09B8264A" w14:textId="05AD4A33" w:rsidR="0036080E" w:rsidRPr="0034546D" w:rsidRDefault="0036080E" w:rsidP="007B039F">
      <w:pPr>
        <w:pStyle w:val="ListParagraph"/>
        <w:numPr>
          <w:ilvl w:val="0"/>
          <w:numId w:val="5"/>
        </w:numPr>
        <w:rPr>
          <w:rFonts w:ascii="Aptos" w:hAnsi="Aptos"/>
          <w:b/>
          <w:bCs/>
        </w:rPr>
      </w:pPr>
      <w:r w:rsidRPr="0034546D">
        <w:rPr>
          <w:rFonts w:ascii="Aptos" w:hAnsi="Aptos"/>
        </w:rPr>
        <w:t>Implement stringent supply chain security measures, including thorough ve</w:t>
      </w:r>
      <w:r w:rsidR="00FA6060" w:rsidRPr="0034546D">
        <w:rPr>
          <w:rFonts w:ascii="Aptos" w:hAnsi="Aptos"/>
        </w:rPr>
        <w:t>ndor vetting, continuous monitoring, and regular audits,</w:t>
      </w:r>
      <w:r w:rsidRPr="0034546D">
        <w:rPr>
          <w:rFonts w:ascii="Aptos" w:hAnsi="Aptos"/>
        </w:rPr>
        <w:t xml:space="preserve"> to ensure the integrity of ICT and OT components.</w:t>
      </w:r>
    </w:p>
    <w:p w14:paraId="78A18D91" w14:textId="77777777" w:rsidR="0036080E" w:rsidRPr="0034546D" w:rsidRDefault="0036080E" w:rsidP="0036080E">
      <w:pPr>
        <w:rPr>
          <w:rFonts w:ascii="Aptos" w:hAnsi="Aptos"/>
        </w:rPr>
      </w:pPr>
    </w:p>
    <w:p w14:paraId="222406D8" w14:textId="77777777" w:rsidR="007B039F" w:rsidRPr="0034546D" w:rsidRDefault="0036080E" w:rsidP="0036080E">
      <w:pPr>
        <w:rPr>
          <w:rFonts w:ascii="Aptos" w:hAnsi="Aptos"/>
          <w:i/>
          <w:iCs/>
        </w:rPr>
      </w:pPr>
      <w:r w:rsidRPr="0034546D">
        <w:rPr>
          <w:rFonts w:ascii="Aptos" w:hAnsi="Aptos"/>
          <w:i/>
          <w:iCs/>
        </w:rPr>
        <w:t>4. Invest in Advanced Security Technologies</w:t>
      </w:r>
    </w:p>
    <w:p w14:paraId="7949B7F0" w14:textId="7AF612F4" w:rsidR="0036080E" w:rsidRPr="009226EE" w:rsidRDefault="0036080E" w:rsidP="0036080E">
      <w:pPr>
        <w:pStyle w:val="ListParagraph"/>
        <w:numPr>
          <w:ilvl w:val="0"/>
          <w:numId w:val="5"/>
        </w:numPr>
        <w:rPr>
          <w:rFonts w:ascii="Aptos" w:hAnsi="Aptos"/>
          <w:b/>
          <w:bCs/>
        </w:rPr>
      </w:pPr>
      <w:r w:rsidRPr="0034546D">
        <w:rPr>
          <w:rFonts w:ascii="Aptos" w:hAnsi="Aptos"/>
        </w:rPr>
        <w:t>Invest in advanced security technologies</w:t>
      </w:r>
      <w:r w:rsidR="00FA6060" w:rsidRPr="0034546D">
        <w:rPr>
          <w:rFonts w:ascii="Aptos" w:hAnsi="Aptos"/>
        </w:rPr>
        <w:t>, such as AI-driven threat detection, automated response systems, and multi-factor authentication, to enhance</w:t>
      </w:r>
      <w:r w:rsidRPr="0034546D">
        <w:rPr>
          <w:rFonts w:ascii="Aptos" w:hAnsi="Aptos"/>
        </w:rPr>
        <w:t xml:space="preserve"> physical and cyber defenses.</w:t>
      </w:r>
    </w:p>
    <w:p w14:paraId="6E4A9864" w14:textId="77777777" w:rsidR="0036080E" w:rsidRPr="0034546D" w:rsidRDefault="0036080E" w:rsidP="0036080E">
      <w:pPr>
        <w:rPr>
          <w:rFonts w:ascii="Aptos" w:hAnsi="Aptos"/>
        </w:rPr>
      </w:pPr>
    </w:p>
    <w:p w14:paraId="3EC52F23" w14:textId="3787D0A7" w:rsidR="0036080E" w:rsidRPr="0034546D" w:rsidRDefault="00660155" w:rsidP="0036080E">
      <w:pPr>
        <w:rPr>
          <w:rFonts w:ascii="Aptos" w:hAnsi="Aptos"/>
          <w:b/>
          <w:bCs/>
        </w:rPr>
      </w:pPr>
      <w:r w:rsidRPr="0034546D">
        <w:rPr>
          <w:rFonts w:ascii="Aptos" w:hAnsi="Aptos"/>
          <w:b/>
          <w:bCs/>
        </w:rPr>
        <w:lastRenderedPageBreak/>
        <w:t>UTC’s Cyber and Security Advocacy Activities</w:t>
      </w:r>
    </w:p>
    <w:p w14:paraId="2DAE2077" w14:textId="77777777" w:rsidR="0036080E" w:rsidRPr="0034546D" w:rsidRDefault="0036080E" w:rsidP="0036080E">
      <w:pPr>
        <w:rPr>
          <w:rFonts w:ascii="Aptos" w:hAnsi="Aptos"/>
        </w:rPr>
      </w:pPr>
    </w:p>
    <w:p w14:paraId="0C204B67" w14:textId="2BFFAC91" w:rsidR="0036080E" w:rsidRPr="0034546D" w:rsidRDefault="0036080E" w:rsidP="0036080E">
      <w:pPr>
        <w:rPr>
          <w:rFonts w:ascii="Aptos" w:hAnsi="Aptos"/>
        </w:rPr>
      </w:pPr>
      <w:r w:rsidRPr="0034546D">
        <w:rPr>
          <w:rFonts w:ascii="Aptos" w:hAnsi="Aptos"/>
        </w:rPr>
        <w:t xml:space="preserve">As </w:t>
      </w:r>
      <w:r w:rsidR="00FA6060" w:rsidRPr="0034546D">
        <w:rPr>
          <w:rFonts w:ascii="Aptos" w:hAnsi="Aptos"/>
        </w:rPr>
        <w:t>utilities' digital transformation continues, the importance of a unified approach to physical and cyber security cannot be overstated. By addressing these challenges and adopting a comprehensive strategy, utilities can better protect their critical infrastructure, ensure reliable service delivery, and safeguard</w:t>
      </w:r>
      <w:r w:rsidRPr="0034546D">
        <w:rPr>
          <w:rFonts w:ascii="Aptos" w:hAnsi="Aptos"/>
        </w:rPr>
        <w:t xml:space="preserve"> public trust.</w:t>
      </w:r>
    </w:p>
    <w:p w14:paraId="4DF95D8C" w14:textId="77777777" w:rsidR="0036080E" w:rsidRPr="0034546D" w:rsidRDefault="0036080E" w:rsidP="0036080E">
      <w:pPr>
        <w:rPr>
          <w:rFonts w:ascii="Aptos" w:hAnsi="Aptos"/>
        </w:rPr>
      </w:pPr>
    </w:p>
    <w:p w14:paraId="7286A75D" w14:textId="6FE7332F" w:rsidR="0036080E" w:rsidRPr="0034546D" w:rsidRDefault="0036080E" w:rsidP="0036080E">
      <w:pPr>
        <w:rPr>
          <w:rFonts w:ascii="Aptos" w:hAnsi="Aptos"/>
        </w:rPr>
      </w:pPr>
      <w:r w:rsidRPr="0034546D">
        <w:rPr>
          <w:rFonts w:ascii="Aptos" w:hAnsi="Aptos"/>
        </w:rPr>
        <w:t xml:space="preserve">The Utilities Technology Council (UTC) actively advocates for its members by engaging with regulatory bodies, policymakers, and industry stakeholders to promote policies that enhance physical and cyber security standards. UTC works tirelessly to ensure that </w:t>
      </w:r>
      <w:r w:rsidR="00FA6060" w:rsidRPr="0034546D">
        <w:rPr>
          <w:rFonts w:ascii="Aptos" w:hAnsi="Aptos"/>
        </w:rPr>
        <w:t>utilities' unique need</w:t>
      </w:r>
      <w:r w:rsidRPr="0034546D">
        <w:rPr>
          <w:rFonts w:ascii="Aptos" w:hAnsi="Aptos"/>
        </w:rPr>
        <w:t>s are represented in legislative and regulatory discussions, driving forward initiatives that support resilience, innovation, and security across the sector.</w:t>
      </w:r>
    </w:p>
    <w:p w14:paraId="32CF7D04" w14:textId="77777777" w:rsidR="0036080E" w:rsidRPr="0034546D" w:rsidRDefault="0036080E" w:rsidP="0036080E">
      <w:pPr>
        <w:rPr>
          <w:rFonts w:ascii="Aptos" w:hAnsi="Aptos"/>
        </w:rPr>
      </w:pPr>
    </w:p>
    <w:p w14:paraId="5CFBE163" w14:textId="58EDCD9C" w:rsidR="0036080E" w:rsidRPr="0034546D" w:rsidRDefault="0036080E" w:rsidP="0036080E">
      <w:pPr>
        <w:rPr>
          <w:rFonts w:ascii="Aptos" w:hAnsi="Aptos"/>
        </w:rPr>
      </w:pPr>
      <w:r w:rsidRPr="0034546D">
        <w:rPr>
          <w:rFonts w:ascii="Aptos" w:hAnsi="Aptos"/>
        </w:rPr>
        <w:t xml:space="preserve">UTC also actively participates and engages with </w:t>
      </w:r>
      <w:r w:rsidR="00FA6060" w:rsidRPr="0034546D">
        <w:rPr>
          <w:rFonts w:ascii="Aptos" w:hAnsi="Aptos"/>
        </w:rPr>
        <w:t>critical</w:t>
      </w:r>
      <w:r w:rsidRPr="0034546D">
        <w:rPr>
          <w:rFonts w:ascii="Aptos" w:hAnsi="Aptos"/>
        </w:rPr>
        <w:t xml:space="preserve"> organizations such as the Federal Communications Commission (FCC), Cybersecurity and Infrastructure Security Agency (CISA), </w:t>
      </w:r>
      <w:r w:rsidR="00FA6060" w:rsidRPr="0034546D">
        <w:rPr>
          <w:rFonts w:ascii="Aptos" w:hAnsi="Aptos"/>
        </w:rPr>
        <w:t xml:space="preserve">the </w:t>
      </w:r>
      <w:r w:rsidRPr="0034546D">
        <w:rPr>
          <w:rFonts w:ascii="Aptos" w:hAnsi="Aptos"/>
        </w:rPr>
        <w:t>Department of Energy's Office of Cybersecurity, Energy Security, and Emergency Response (DOE CESER), North American Electric Reliability Corporation (NERC), Information Sharing and Analysis Centers (ISACs), and other trade associations. This engagement allows UTC to stay at the forefront of industry developments, advocate for its members' interests, and promote a coordinated approach to addressing security challenges.</w:t>
      </w:r>
    </w:p>
    <w:p w14:paraId="46027220" w14:textId="77777777" w:rsidR="0036080E" w:rsidRPr="00874EB7" w:rsidRDefault="0036080E" w:rsidP="0036080E">
      <w:pPr>
        <w:rPr>
          <w:rFonts w:ascii="Aptos" w:hAnsi="Aptos"/>
        </w:rPr>
      </w:pPr>
    </w:p>
    <w:p w14:paraId="0041E09F" w14:textId="7E6F2757" w:rsidR="009B3D33" w:rsidRPr="00874EB7" w:rsidRDefault="0036080E" w:rsidP="009B3D33">
      <w:pPr>
        <w:rPr>
          <w:rFonts w:ascii="Aptos" w:hAnsi="Aptos"/>
        </w:rPr>
      </w:pPr>
      <w:r w:rsidRPr="00874EB7">
        <w:rPr>
          <w:rFonts w:ascii="Aptos" w:hAnsi="Aptos"/>
        </w:rPr>
        <w:t>By leveraging UTC’s advocacy efforts and strategic partnerships, members can stay informed, influence policy decisions, and strengthen their security posture.</w:t>
      </w:r>
      <w:r w:rsidR="009B3D33" w:rsidRPr="00874EB7">
        <w:rPr>
          <w:rFonts w:ascii="Aptos" w:hAnsi="Aptos"/>
        </w:rPr>
        <w:t xml:space="preserve"> </w:t>
      </w:r>
      <w:r w:rsidR="009B3D33" w:rsidRPr="00874EB7">
        <w:rPr>
          <w:rFonts w:ascii="Aptos" w:hAnsi="Aptos"/>
        </w:rPr>
        <w:t xml:space="preserve">For more information about UTC’s </w:t>
      </w:r>
      <w:r w:rsidR="00874EB7">
        <w:rPr>
          <w:rFonts w:ascii="Aptos" w:hAnsi="Aptos"/>
        </w:rPr>
        <w:t>cyber and security</w:t>
      </w:r>
      <w:r w:rsidR="009B3D33" w:rsidRPr="00874EB7">
        <w:rPr>
          <w:rFonts w:ascii="Aptos" w:hAnsi="Aptos"/>
        </w:rPr>
        <w:t xml:space="preserve"> advocacy</w:t>
      </w:r>
      <w:r w:rsidR="00874EB7">
        <w:rPr>
          <w:rFonts w:ascii="Aptos" w:hAnsi="Aptos"/>
        </w:rPr>
        <w:t xml:space="preserve"> activities</w:t>
      </w:r>
      <w:r w:rsidR="009B3D33" w:rsidRPr="00874EB7">
        <w:rPr>
          <w:rFonts w:ascii="Aptos" w:hAnsi="Aptos"/>
        </w:rPr>
        <w:t>, visit this page.</w:t>
      </w:r>
    </w:p>
    <w:p w14:paraId="66E10353" w14:textId="7A52E24A" w:rsidR="0036080E" w:rsidRPr="0034546D" w:rsidRDefault="0036080E" w:rsidP="0036080E">
      <w:pPr>
        <w:rPr>
          <w:rFonts w:ascii="Aptos" w:hAnsi="Aptos"/>
        </w:rPr>
      </w:pPr>
    </w:p>
    <w:p w14:paraId="61496EDA" w14:textId="77777777" w:rsidR="0036080E" w:rsidRPr="0034546D" w:rsidRDefault="0036080E" w:rsidP="0036080E">
      <w:pPr>
        <w:rPr>
          <w:rFonts w:ascii="Aptos" w:hAnsi="Aptos"/>
        </w:rPr>
      </w:pPr>
    </w:p>
    <w:p w14:paraId="57722E84" w14:textId="4252DA22" w:rsidR="00AD25D5" w:rsidRPr="0034546D" w:rsidRDefault="00AD25D5" w:rsidP="0036080E">
      <w:pPr>
        <w:rPr>
          <w:rFonts w:ascii="Aptos" w:hAnsi="Aptos"/>
        </w:rPr>
      </w:pPr>
    </w:p>
    <w:sectPr w:rsidR="00AD25D5" w:rsidRPr="0034546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B0A78F" w14:textId="77777777" w:rsidR="007A6E08" w:rsidRDefault="007A6E08" w:rsidP="007A6E08">
      <w:r>
        <w:separator/>
      </w:r>
    </w:p>
  </w:endnote>
  <w:endnote w:type="continuationSeparator" w:id="0">
    <w:p w14:paraId="190ABE28" w14:textId="77777777" w:rsidR="007A6E08" w:rsidRDefault="007A6E08" w:rsidP="007A6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0E281" w14:textId="77777777" w:rsidR="007A6E08" w:rsidRDefault="007A6E08" w:rsidP="007A6E08">
      <w:r>
        <w:separator/>
      </w:r>
    </w:p>
  </w:footnote>
  <w:footnote w:type="continuationSeparator" w:id="0">
    <w:p w14:paraId="13CFEE03" w14:textId="77777777" w:rsidR="007A6E08" w:rsidRDefault="007A6E08" w:rsidP="007A6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251EB" w14:textId="6A12E6B0" w:rsidR="007A6E08" w:rsidRPr="00B21D49" w:rsidRDefault="004F52CC" w:rsidP="007A6E08">
    <w:pPr>
      <w:jc w:val="center"/>
      <w:rPr>
        <w:rFonts w:ascii="Aptos" w:hAnsi="Aptos"/>
        <w:b/>
        <w:bCs/>
        <w:u w:val="single"/>
      </w:rPr>
    </w:pPr>
    <w:r w:rsidRPr="00B21D49">
      <w:rPr>
        <w:rFonts w:ascii="Aptos" w:hAnsi="Aptos"/>
        <w:noProof/>
        <w:u w:val="single"/>
      </w:rPr>
      <w:drawing>
        <wp:anchor distT="0" distB="0" distL="114300" distR="114300" simplePos="0" relativeHeight="251659264" behindDoc="0" locked="0" layoutInCell="1" allowOverlap="1" wp14:anchorId="7A00E456" wp14:editId="75EDA23B">
          <wp:simplePos x="0" y="0"/>
          <wp:positionH relativeFrom="margin">
            <wp:align>left</wp:align>
          </wp:positionH>
          <wp:positionV relativeFrom="paragraph">
            <wp:posOffset>-17357</wp:posOffset>
          </wp:positionV>
          <wp:extent cx="1552575" cy="478768"/>
          <wp:effectExtent l="0" t="0" r="0" b="0"/>
          <wp:wrapNone/>
          <wp:docPr id="100001" name="Picture 100001"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Picture 100001" descr="A logo with blue text&#10;&#10;Description automatically generated"/>
                  <pic:cNvPicPr>
                    <a:picLocks noChangeAspect="1"/>
                  </pic:cNvPicPr>
                </pic:nvPicPr>
                <pic:blipFill>
                  <a:blip r:embed="rId1"/>
                  <a:stretch>
                    <a:fillRect/>
                  </a:stretch>
                </pic:blipFill>
                <pic:spPr>
                  <a:xfrm>
                    <a:off x="0" y="0"/>
                    <a:ext cx="1552575" cy="478768"/>
                  </a:xfrm>
                  <a:prstGeom prst="rect">
                    <a:avLst/>
                  </a:prstGeom>
                </pic:spPr>
              </pic:pic>
            </a:graphicData>
          </a:graphic>
          <wp14:sizeRelH relativeFrom="margin">
            <wp14:pctWidth>0</wp14:pctWidth>
          </wp14:sizeRelH>
          <wp14:sizeRelV relativeFrom="margin">
            <wp14:pctHeight>0</wp14:pctHeight>
          </wp14:sizeRelV>
        </wp:anchor>
      </w:drawing>
    </w:r>
    <w:r w:rsidR="007A6E08" w:rsidRPr="00B21D49">
      <w:rPr>
        <w:rFonts w:ascii="Aptos" w:hAnsi="Aptos"/>
        <w:b/>
        <w:bCs/>
        <w:u w:val="single"/>
      </w:rPr>
      <w:t>CYBER AND SECURITY ISSUE BRIEF</w:t>
    </w:r>
  </w:p>
  <w:p w14:paraId="63B8C0A2" w14:textId="50F53584" w:rsidR="007A6E08" w:rsidRDefault="007A6E08">
    <w:pPr>
      <w:pStyle w:val="Header"/>
    </w:pPr>
  </w:p>
  <w:p w14:paraId="20CDE06F" w14:textId="77777777" w:rsidR="007A6E08" w:rsidRDefault="007A6E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438B5"/>
    <w:multiLevelType w:val="hybridMultilevel"/>
    <w:tmpl w:val="7F7C3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7771A"/>
    <w:multiLevelType w:val="hybridMultilevel"/>
    <w:tmpl w:val="F708B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F53DB"/>
    <w:multiLevelType w:val="hybridMultilevel"/>
    <w:tmpl w:val="9E640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81D55"/>
    <w:multiLevelType w:val="hybridMultilevel"/>
    <w:tmpl w:val="099A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484563"/>
    <w:multiLevelType w:val="hybridMultilevel"/>
    <w:tmpl w:val="69A8E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C347DE"/>
    <w:multiLevelType w:val="hybridMultilevel"/>
    <w:tmpl w:val="02DC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0883945">
    <w:abstractNumId w:val="2"/>
  </w:num>
  <w:num w:numId="2" w16cid:durableId="926231394">
    <w:abstractNumId w:val="3"/>
  </w:num>
  <w:num w:numId="3" w16cid:durableId="1985313532">
    <w:abstractNumId w:val="4"/>
  </w:num>
  <w:num w:numId="4" w16cid:durableId="1244144828">
    <w:abstractNumId w:val="0"/>
  </w:num>
  <w:num w:numId="5" w16cid:durableId="1593775858">
    <w:abstractNumId w:val="5"/>
  </w:num>
  <w:num w:numId="6" w16cid:durableId="1672566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80E"/>
    <w:rsid w:val="001C6DB5"/>
    <w:rsid w:val="00336FCF"/>
    <w:rsid w:val="0034546D"/>
    <w:rsid w:val="0036080E"/>
    <w:rsid w:val="00360D5B"/>
    <w:rsid w:val="0040436D"/>
    <w:rsid w:val="004F52CC"/>
    <w:rsid w:val="005E2A80"/>
    <w:rsid w:val="00660155"/>
    <w:rsid w:val="006A5419"/>
    <w:rsid w:val="00761D58"/>
    <w:rsid w:val="007A6E08"/>
    <w:rsid w:val="007B039F"/>
    <w:rsid w:val="00874EB7"/>
    <w:rsid w:val="008F5FD6"/>
    <w:rsid w:val="009226EE"/>
    <w:rsid w:val="00981667"/>
    <w:rsid w:val="009B3D33"/>
    <w:rsid w:val="00A3468F"/>
    <w:rsid w:val="00AD25D5"/>
    <w:rsid w:val="00B21D49"/>
    <w:rsid w:val="00B50C0D"/>
    <w:rsid w:val="00C81679"/>
    <w:rsid w:val="00CB3ED0"/>
    <w:rsid w:val="00D80817"/>
    <w:rsid w:val="00E84FE9"/>
    <w:rsid w:val="00EA4631"/>
    <w:rsid w:val="00FA6060"/>
    <w:rsid w:val="00FC69FD"/>
    <w:rsid w:val="00FF4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69BF7"/>
  <w15:chartTrackingRefBased/>
  <w15:docId w15:val="{2CC79737-964D-5440-8AC0-B6CAE9369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8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08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08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08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08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08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8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8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8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8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08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08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08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08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08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08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08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080E"/>
    <w:rPr>
      <w:rFonts w:eastAsiaTheme="majorEastAsia" w:cstheme="majorBidi"/>
      <w:color w:val="272727" w:themeColor="text1" w:themeTint="D8"/>
    </w:rPr>
  </w:style>
  <w:style w:type="paragraph" w:styleId="Title">
    <w:name w:val="Title"/>
    <w:basedOn w:val="Normal"/>
    <w:next w:val="Normal"/>
    <w:link w:val="TitleChar"/>
    <w:uiPriority w:val="10"/>
    <w:qFormat/>
    <w:rsid w:val="003608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8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8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8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8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6080E"/>
    <w:rPr>
      <w:i/>
      <w:iCs/>
      <w:color w:val="404040" w:themeColor="text1" w:themeTint="BF"/>
    </w:rPr>
  </w:style>
  <w:style w:type="paragraph" w:styleId="ListParagraph">
    <w:name w:val="List Paragraph"/>
    <w:basedOn w:val="Normal"/>
    <w:uiPriority w:val="34"/>
    <w:qFormat/>
    <w:rsid w:val="0036080E"/>
    <w:pPr>
      <w:ind w:left="720"/>
      <w:contextualSpacing/>
    </w:pPr>
  </w:style>
  <w:style w:type="character" w:styleId="IntenseEmphasis">
    <w:name w:val="Intense Emphasis"/>
    <w:basedOn w:val="DefaultParagraphFont"/>
    <w:uiPriority w:val="21"/>
    <w:qFormat/>
    <w:rsid w:val="0036080E"/>
    <w:rPr>
      <w:i/>
      <w:iCs/>
      <w:color w:val="2F5496" w:themeColor="accent1" w:themeShade="BF"/>
    </w:rPr>
  </w:style>
  <w:style w:type="paragraph" w:styleId="IntenseQuote">
    <w:name w:val="Intense Quote"/>
    <w:basedOn w:val="Normal"/>
    <w:next w:val="Normal"/>
    <w:link w:val="IntenseQuoteChar"/>
    <w:uiPriority w:val="30"/>
    <w:qFormat/>
    <w:rsid w:val="003608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080E"/>
    <w:rPr>
      <w:i/>
      <w:iCs/>
      <w:color w:val="2F5496" w:themeColor="accent1" w:themeShade="BF"/>
    </w:rPr>
  </w:style>
  <w:style w:type="character" w:styleId="IntenseReference">
    <w:name w:val="Intense Reference"/>
    <w:basedOn w:val="DefaultParagraphFont"/>
    <w:uiPriority w:val="32"/>
    <w:qFormat/>
    <w:rsid w:val="0036080E"/>
    <w:rPr>
      <w:b/>
      <w:bCs/>
      <w:smallCaps/>
      <w:color w:val="2F5496" w:themeColor="accent1" w:themeShade="BF"/>
      <w:spacing w:val="5"/>
    </w:rPr>
  </w:style>
  <w:style w:type="paragraph" w:styleId="Revision">
    <w:name w:val="Revision"/>
    <w:hidden/>
    <w:uiPriority w:val="99"/>
    <w:semiHidden/>
    <w:rsid w:val="00981667"/>
  </w:style>
  <w:style w:type="table" w:styleId="TableGrid">
    <w:name w:val="Table Grid"/>
    <w:basedOn w:val="TableNormal"/>
    <w:uiPriority w:val="39"/>
    <w:rsid w:val="00CB3ED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6E08"/>
    <w:pPr>
      <w:tabs>
        <w:tab w:val="center" w:pos="4680"/>
        <w:tab w:val="right" w:pos="9360"/>
      </w:tabs>
    </w:pPr>
  </w:style>
  <w:style w:type="character" w:customStyle="1" w:styleId="HeaderChar">
    <w:name w:val="Header Char"/>
    <w:basedOn w:val="DefaultParagraphFont"/>
    <w:link w:val="Header"/>
    <w:uiPriority w:val="99"/>
    <w:rsid w:val="007A6E08"/>
  </w:style>
  <w:style w:type="paragraph" w:styleId="Footer">
    <w:name w:val="footer"/>
    <w:basedOn w:val="Normal"/>
    <w:link w:val="FooterChar"/>
    <w:uiPriority w:val="99"/>
    <w:unhideWhenUsed/>
    <w:rsid w:val="007A6E08"/>
    <w:pPr>
      <w:tabs>
        <w:tab w:val="center" w:pos="4680"/>
        <w:tab w:val="right" w:pos="9360"/>
      </w:tabs>
    </w:pPr>
  </w:style>
  <w:style w:type="character" w:customStyle="1" w:styleId="FooterChar">
    <w:name w:val="Footer Char"/>
    <w:basedOn w:val="DefaultParagraphFont"/>
    <w:link w:val="Footer"/>
    <w:uiPriority w:val="99"/>
    <w:rsid w:val="007A6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961</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Briggs</dc:creator>
  <cp:keywords/>
  <dc:description/>
  <cp:lastModifiedBy>Brett Kilbourne</cp:lastModifiedBy>
  <cp:revision>9</cp:revision>
  <dcterms:created xsi:type="dcterms:W3CDTF">2024-09-13T15:57:00Z</dcterms:created>
  <dcterms:modified xsi:type="dcterms:W3CDTF">2024-09-13T16:20:00Z</dcterms:modified>
</cp:coreProperties>
</file>